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240" w:before="240" w:lineRule="auto"/>
        <w:rPr>
          <w:rFonts w:ascii="Calibri" w:cs="Calibri" w:eastAsia="Calibri" w:hAnsi="Calibri"/>
          <w:b w:val="1"/>
          <w:bCs w:val="1"/>
          <w:color w:val="000000"/>
          <w:sz w:val="22"/>
          <w:szCs w:val="22"/>
        </w:rPr>
      </w:pPr>
      <w:r w:rsidDel="00000000" w:rsidR="00000000" w:rsidRPr="00000000">
        <w:rPr>
          <w:rFonts w:ascii="Calibri" w:cs="Calibri" w:eastAsia="Calibri" w:hAnsi="Calibri"/>
          <w:b w:val="1"/>
          <w:bCs w:val="1"/>
          <w:color w:val="000000"/>
          <w:sz w:val="22"/>
          <w:szCs w:val="22"/>
          <w:rtl w:val="0"/>
        </w:rPr>
        <w:t xml:space="preserve">Accessibility Plan 26-27</w:t>
      </w:r>
    </w:p>
    <w:p w:rsidR="00000000" w:rsidDel="00000000" w:rsidP="00000000" w:rsidRDefault="00000000" w:rsidRPr="00000000" w14:paraId="00000002">
      <w:pPr>
        <w:spacing w:after="240" w:before="240" w:lineRule="auto"/>
        <w:rPr>
          <w:rFonts w:ascii="Calibri" w:cs="Calibri" w:eastAsia="Calibri" w:hAnsi="Calibri"/>
          <w:color w:val="000000"/>
          <w:sz w:val="22"/>
          <w:szCs w:val="22"/>
        </w:rPr>
      </w:pPr>
      <w:r w:rsidDel="00000000" w:rsidR="00000000" w:rsidRPr="00000000">
        <w:rPr>
          <w:rtl w:val="0"/>
        </w:rPr>
      </w:r>
    </w:p>
    <w:p w:rsidR="00000000" w:rsidDel="00000000" w:rsidP="00000000" w:rsidRDefault="00000000" w:rsidRPr="00000000" w14:paraId="00000003">
      <w:pPr>
        <w:spacing w:after="240" w:before="240" w:lineRule="auto"/>
        <w:rPr>
          <w:rFonts w:ascii="Calibri" w:cs="Calibri" w:eastAsia="Calibri" w:hAnsi="Calibri"/>
          <w:sz w:val="22"/>
          <w:szCs w:val="22"/>
        </w:rPr>
      </w:pPr>
      <w:r w:rsidDel="00000000" w:rsidR="00000000" w:rsidRPr="00000000">
        <w:rPr>
          <w:rFonts w:ascii="Calibri" w:cs="Calibri" w:eastAsia="Calibri" w:hAnsi="Calibri"/>
          <w:color w:val="000000"/>
          <w:sz w:val="22"/>
          <w:szCs w:val="22"/>
          <w:rtl w:val="0"/>
        </w:rPr>
        <w:t xml:space="preserve">Haydon Abbey School and Pre</w:t>
      </w:r>
      <w:r w:rsidDel="00000000" w:rsidR="00000000" w:rsidRPr="00000000">
        <w:rPr>
          <w:rFonts w:ascii="Cambria Math" w:cs="Cambria Math" w:eastAsia="Cambria Math" w:hAnsi="Cambria Math"/>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School already demonstrates practical, inclusive steps that support disabled pupils’ participation in the curriculum. The school provides subsidised access to the breakfast club and reduced costs for school visits for pupils eligible for pupil premium, reducing financial barriers to out-of-hours and enrichment activities. A broad offer of after</w:t>
      </w:r>
      <w:r w:rsidDel="00000000" w:rsidR="00000000" w:rsidRPr="00000000">
        <w:rPr>
          <w:rFonts w:ascii="Cambria Math" w:cs="Cambria Math" w:eastAsia="Cambria Math" w:hAnsi="Cambria Math"/>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school clubs (singing, sports, dance, science, gardening) creates multiple routes for pupils to engage with the wider curriculum beyond the classroom. Strategic priorities (including strengthened pedagogy through WalkThrus, targeted inclusion actions and development of bespoke in</w:t>
      </w:r>
      <w:r w:rsidDel="00000000" w:rsidR="00000000" w:rsidRPr="00000000">
        <w:rPr>
          <w:rFonts w:ascii="Cambria Math" w:cs="Cambria Math" w:eastAsia="Cambria Math" w:hAnsi="Cambria Math"/>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house provisions for pupils with complex needs) and strong, stable leadership further support inclusive practice. These measures align with the Equality Act 2010 Schedule 10 duties by helping to increase disabled pupils’ ability to participate in the curriculum and with the Public Sector Equality Duty (PSED) by advancing equality of opportunity and removing barriers to participation. The school’s focus on adaptive Quality First Teaching, targeted interventions and pastoral provision also provides a good foundation for extending access to extra</w:t>
      </w:r>
      <w:r w:rsidDel="00000000" w:rsidR="00000000" w:rsidRPr="00000000">
        <w:rPr>
          <w:rFonts w:ascii="Cambria Math" w:cs="Cambria Math" w:eastAsia="Cambria Math" w:hAnsi="Cambria Math"/>
          <w:color w:val="000000"/>
          <w:sz w:val="22"/>
          <w:szCs w:val="22"/>
          <w:rtl w:val="0"/>
        </w:rPr>
        <w:t xml:space="preserve">‑</w:t>
      </w:r>
      <w:r w:rsidDel="00000000" w:rsidR="00000000" w:rsidRPr="00000000">
        <w:rPr>
          <w:rFonts w:ascii="Calibri" w:cs="Calibri" w:eastAsia="Calibri" w:hAnsi="Calibri"/>
          <w:color w:val="000000"/>
          <w:sz w:val="22"/>
          <w:szCs w:val="22"/>
          <w:rtl w:val="0"/>
        </w:rPr>
        <w:t xml:space="preserve">curricular and curriculum enrichment for pupils with disabilities.</w:t>
      </w:r>
      <w:r w:rsidDel="00000000" w:rsidR="00000000" w:rsidRPr="00000000">
        <w:rPr>
          <w:rtl w:val="0"/>
        </w:rPr>
      </w:r>
    </w:p>
    <w:p w:rsidR="00000000" w:rsidDel="00000000" w:rsidP="00000000" w:rsidRDefault="00000000" w:rsidRPr="00000000" w14:paraId="00000004">
      <w:pPr>
        <w:spacing w:after="240" w:before="240" w:lineRule="auto"/>
        <w:rPr>
          <w:rFonts w:ascii="Calibri" w:cs="Calibri" w:eastAsia="Calibri" w:hAnsi="Calibri"/>
          <w:b w:val="1"/>
          <w:bCs w:val="1"/>
          <w:sz w:val="22"/>
          <w:szCs w:val="22"/>
        </w:rPr>
      </w:pPr>
      <w:bookmarkStart w:colFirst="0" w:colLast="0" w:name="_heading=h.xu27dhrjp1de" w:id="0"/>
      <w:bookmarkEnd w:id="0"/>
      <w:r w:rsidDel="00000000" w:rsidR="00000000" w:rsidRPr="00000000">
        <w:rPr>
          <w:rFonts w:ascii="Calibri" w:cs="Calibri" w:eastAsia="Calibri" w:hAnsi="Calibri"/>
          <w:b w:val="1"/>
          <w:bCs w:val="1"/>
          <w:color w:val="000000"/>
          <w:sz w:val="22"/>
          <w:szCs w:val="22"/>
          <w:rtl w:val="0"/>
        </w:rPr>
        <w:t xml:space="preserve">Objectives and Action Plan</w:t>
      </w:r>
      <w:r w:rsidDel="00000000" w:rsidR="00000000" w:rsidRPr="00000000">
        <w:rPr>
          <w:rtl w:val="0"/>
        </w:rPr>
      </w:r>
    </w:p>
    <w:tbl>
      <w:tblPr>
        <w:tblStyle w:val="Table1"/>
        <w:tblW w:w="13992.0" w:type="dxa"/>
        <w:jc w:val="left"/>
        <w:tblBorders>
          <w:top w:color="000000" w:space="0" w:sz="5" w:val="single"/>
          <w:left w:color="000000" w:space="0" w:sz="5" w:val="single"/>
          <w:bottom w:color="000000" w:space="0" w:sz="5" w:val="single"/>
          <w:right w:color="000000" w:space="0" w:sz="5" w:val="single"/>
        </w:tblBorders>
        <w:tblLayout w:type="fixed"/>
        <w:tblLook w:val="0400"/>
      </w:tblPr>
      <w:tblGrid>
        <w:gridCol w:w="3499"/>
        <w:gridCol w:w="3511"/>
        <w:gridCol w:w="2650"/>
        <w:gridCol w:w="2315"/>
        <w:gridCol w:w="2017"/>
        <w:tblGridChange w:id="0">
          <w:tblGrid>
            <w:gridCol w:w="3499"/>
            <w:gridCol w:w="3511"/>
            <w:gridCol w:w="2650"/>
            <w:gridCol w:w="2315"/>
            <w:gridCol w:w="2017"/>
          </w:tblGrid>
        </w:tblGridChange>
      </w:tblGrid>
      <w:tr>
        <w:trPr>
          <w:cantSplit w:val="0"/>
          <w:tblHeader w:val="0"/>
        </w:trPr>
        <w:tc>
          <w:tcPr>
            <w:tcBorders>
              <w:top w:color="000000" w:space="0" w:sz="5" w:val="single"/>
              <w:left w:color="000000" w:space="0" w:sz="5" w:val="single"/>
              <w:bottom w:color="000000" w:space="0" w:sz="5" w:val="single"/>
              <w:right w:color="000000" w:space="0" w:sz="5" w:val="single"/>
            </w:tcBorders>
            <w:shd w:fill="c6d9f1" w:val="clear"/>
            <w:tcMar>
              <w:top w:w="120.0" w:type="dxa"/>
              <w:left w:w="120.0" w:type="dxa"/>
              <w:bottom w:w="120.0" w:type="dxa"/>
              <w:right w:w="120.0" w:type="dxa"/>
            </w:tcMar>
            <w:vAlign w:val="center"/>
          </w:tcPr>
          <w:p w:rsidR="00000000" w:rsidDel="00000000" w:rsidP="00000000" w:rsidRDefault="00000000" w:rsidRPr="00000000" w14:paraId="00000005">
            <w:pPr>
              <w:jc w:val="center"/>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vertAlign w:val="baseline"/>
                <w:rtl w:val="0"/>
              </w:rPr>
              <w:t xml:space="preserve">Objective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c6d9f1" w:val="clear"/>
            <w:tcMar>
              <w:top w:w="120.0" w:type="dxa"/>
              <w:left w:w="120.0" w:type="dxa"/>
              <w:bottom w:w="120.0" w:type="dxa"/>
              <w:right w:w="120.0" w:type="dxa"/>
            </w:tcMar>
            <w:vAlign w:val="center"/>
          </w:tcPr>
          <w:p w:rsidR="00000000" w:rsidDel="00000000" w:rsidP="00000000" w:rsidRDefault="00000000" w:rsidRPr="00000000" w14:paraId="00000006">
            <w:pPr>
              <w:jc w:val="center"/>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vertAlign w:val="baseline"/>
                <w:rtl w:val="0"/>
              </w:rPr>
              <w:t xml:space="preserve">Actions to be taken</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c6d9f1" w:val="clear"/>
            <w:tcMar>
              <w:top w:w="120.0" w:type="dxa"/>
              <w:left w:w="120.0" w:type="dxa"/>
              <w:bottom w:w="120.0" w:type="dxa"/>
              <w:right w:w="120.0" w:type="dxa"/>
            </w:tcMar>
            <w:vAlign w:val="center"/>
          </w:tcPr>
          <w:p w:rsidR="00000000" w:rsidDel="00000000" w:rsidP="00000000" w:rsidRDefault="00000000" w:rsidRPr="00000000" w14:paraId="00000007">
            <w:pPr>
              <w:jc w:val="center"/>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vertAlign w:val="baseline"/>
                <w:rtl w:val="0"/>
              </w:rPr>
              <w:t xml:space="preserve">Success Criteria</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c6d9f1" w:val="clear"/>
            <w:tcMar>
              <w:top w:w="120.0" w:type="dxa"/>
              <w:left w:w="120.0" w:type="dxa"/>
              <w:bottom w:w="120.0" w:type="dxa"/>
              <w:right w:w="120.0" w:type="dxa"/>
            </w:tcMar>
            <w:vAlign w:val="center"/>
          </w:tcPr>
          <w:p w:rsidR="00000000" w:rsidDel="00000000" w:rsidP="00000000" w:rsidRDefault="00000000" w:rsidRPr="00000000" w14:paraId="00000008">
            <w:pPr>
              <w:jc w:val="center"/>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vertAlign w:val="baseline"/>
                <w:rtl w:val="0"/>
              </w:rPr>
              <w:t xml:space="preserve">Person Responsible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shd w:fill="c6d9f1" w:val="clear"/>
            <w:tcMar>
              <w:top w:w="120.0" w:type="dxa"/>
              <w:left w:w="120.0" w:type="dxa"/>
              <w:bottom w:w="120.0" w:type="dxa"/>
              <w:right w:w="120.0" w:type="dxa"/>
            </w:tcMar>
            <w:vAlign w:val="center"/>
          </w:tcPr>
          <w:p w:rsidR="00000000" w:rsidDel="00000000" w:rsidP="00000000" w:rsidRDefault="00000000" w:rsidRPr="00000000" w14:paraId="00000009">
            <w:pPr>
              <w:jc w:val="center"/>
              <w:rPr>
                <w:rFonts w:ascii="Calibri" w:cs="Calibri" w:eastAsia="Calibri" w:hAnsi="Calibri"/>
                <w:sz w:val="22"/>
                <w:szCs w:val="22"/>
              </w:rPr>
            </w:pPr>
            <w:r w:rsidDel="00000000" w:rsidR="00000000" w:rsidRPr="00000000">
              <w:rPr>
                <w:rFonts w:ascii="Calibri" w:cs="Calibri" w:eastAsia="Calibri" w:hAnsi="Calibri"/>
                <w:b w:val="1"/>
                <w:bCs w:val="1"/>
                <w:color w:val="000000"/>
                <w:sz w:val="22"/>
                <w:szCs w:val="22"/>
                <w:vertAlign w:val="baseline"/>
                <w:rtl w:val="0"/>
              </w:rPr>
              <w:t xml:space="preserve">Timeframe</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0A">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1. Increase participation of pupils with disabilities in after</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school clubs to at least parity with their proportion in the school population (target: reach 22% SEND representation in club attendance)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0B">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Audit current after</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school club attendance by disability/SEND status and identify barriers (physical access, transport, cost, staffing, activity differentiation).</w:t>
              <w:br w:type="textWrapping"/>
              <w:t xml:space="preserve">- Introduce targeted outreach: phone/text invites and accessible flyers to parents of pupils with SEND and those with EHC plans; offer trial sessions.</w:t>
              <w:br w:type="textWrapping"/>
              <w:t xml:space="preserve">- Implement a subsidy / free place policy for pupils with SEND where cost is a barrier (using Pupil Premium and other local funds).</w:t>
              <w:br w:type="textWrapping"/>
              <w:t xml:space="preserve">- Train club staff/LSAs in adaptive practice (simple differentiation, visual supports, communication aids, sensory adjustments) linked to WalkThrus adaptive QFT CPD.</w:t>
              <w:br w:type="textWrapping"/>
              <w:t xml:space="preserve">- Allocate an LSA to support identified pupils during clubs for first half-term to enable independent participation thereafter.</w:t>
              <w:br w:type="textWrapping"/>
              <w:t xml:space="preserve">- Adjust club times/locations where needed to reduce sensory or travel barriers (e.g., quieter rooms, earlier finish).</w:t>
              <w:br w:type="textWrapping"/>
              <w:t xml:space="preserve">- Monitor individual pupil feedback on club experience (pupil voice) and parental feedback.</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0C">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Baseline and follow-up attendance data show SEND pupils’ representation in clubs increases to at least 22% within one academic year.</w:t>
              <w:br w:type="textWrapping"/>
              <w:t xml:space="preserve">- Number of subsidised/free places used by pupils with SEND recorded and increased uptake reported.</w:t>
              <w:br w:type="textWrapping"/>
              <w:t xml:space="preserve">- At least 90% of club staff complete adaptive practice training and report increased confidence.</w:t>
              <w:br w:type="textWrapping"/>
              <w:t xml:space="preserve">- Pupil voice shows 80% of participating SEND pupils report feeling included and able to access activities.</w:t>
              <w:br w:type="textWrapping"/>
              <w:t xml:space="preserve">- Reduction in withdrawals from clubs due to accessibility issues.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0D">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Inclusion Lead (Silka Pawelczyk) in partnership with Club Leaders, SENCo (Liz Jones), Business Manager (for subsidy funding)</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0E">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Start Autumn term — audit and planning; implementation from Spring term; review end of academic year</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0F">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2. Increase the number of pupils with disabilities learning to play a musical instrument (target: double current numbers within 12 months)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0">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Identify current barriers to instrument learning for pupils with SEND (cost, transport to lessons, suitable instruments, teacher expertise).</w:t>
              <w:br w:type="textWrapping"/>
              <w:t xml:space="preserve">- Offer subsidised or free instrument lessons for pupils with SEND (use Pupil Premium / targeted SEND funding).</w:t>
              <w:br w:type="textWrapping"/>
              <w:t xml:space="preserve">- Provide a small instrument loan pool (keyboards, ukuleles, percussion) with accessible adaptations (straps, simplified fingering charts, visual cue cards).</w:t>
              <w:br w:type="textWrapping"/>
              <w:t xml:space="preserve">- Ensure peripatetic and classroom music staff receive training on inclusive music pedagogy and on adaptations for specific needs (visual schedules, tactile cues, alternative notation).</w:t>
              <w:br w:type="textWrapping"/>
              <w:t xml:space="preserve">- Create a ‘music access plan’ for each participating pupil with SEND, incorporated into their SEND support plan or EHCP outcomes where appropriate.</w:t>
              <w:br w:type="textWrapping"/>
              <w:t xml:space="preserve">- Schedule lessons within school time where necessary to avoid transport/after</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school barriers.</w:t>
              <w:br w:type="textWrapping"/>
              <w:t xml:space="preserve">- Showcase progress through low</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pressure performance opportunities (class assemblies, in</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school events) with accessible formats.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1">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Number of pupils with SEND receiving instrument lessons doubles within 12 months.</w:t>
              <w:br w:type="textWrapping"/>
              <w:t xml:space="preserve">- At least 90% of participating pupils with SEND sustain lessons for a full term after starting.</w:t>
              <w:br w:type="textWrapping"/>
              <w:t xml:space="preserve">- Instrument loan pool is established and used by targeted pupils (log of loans).</w:t>
              <w:br w:type="textWrapping"/>
              <w:t xml:space="preserve">- Peripatetic staff complete inclusive music training and report increased confidence and use of adaptations.</w:t>
              <w:br w:type="textWrapping"/>
              <w:t xml:space="preserve">- Evidence in pupils’ SEND support plans of clear musical outcomes and progress notes.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2">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Music Lead (to be appointed/subject lead) with SENCo (Liz Jones), Business Manager, peripatetic staff</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3">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Planning from Autumn term; lessons begin Spring term; review after 12 months</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4">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3. Ensure curriculum enrichment (clubs, music, visits) is planned and delivered with reasonable adjustments and anticipatory arrangements for pupils with disabilities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5">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Update school policy and planning templates to require an accessibility risk assessment for all enrichment activities and visits, referencing Schedule 10 duties and PSED.</w:t>
              <w:br w:type="textWrapping"/>
              <w:t xml:space="preserve">- Create standard checklist for reasonable adjustments (transport, staff ratios, environment, resources, communication needs) to be completed before activities run.</w:t>
              <w:br w:type="textWrapping"/>
              <w:t xml:space="preserve">- Build a bank of adapted resources (large</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print materials, symbols/PECS, sensory breaks toolkit, noise</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reducing headphones) available to teachers and club leaders.</w:t>
              <w:br w:type="textWrapping"/>
              <w:t xml:space="preserve">- Ensure main site adaptations (quiet spaces, accessible toilets, lighting, seating) are signposted and available during enrichment sessions.</w:t>
              <w:br w:type="textWrapping"/>
              <w:t xml:space="preserve">- Liaise with parents and, where appropriate, therapists to co</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produce reasonable adjustments for pupils with EHCPs or identified needs before participation.</w:t>
              <w:br w:type="textWrapping"/>
              <w:t xml:space="preserve">- Incorporate monitoring of adjustments and outcomes into termly inclusion review meetings and into Headteacher reporting to governors.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6">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- 100% of trips and enrichment activities have completed accessibility risk assessments before departure/start.</w:t>
              <w:br w:type="textWrapping"/>
              <w:t xml:space="preserve">- Documented reasonable adjustments exist for each pupil with identified needs who attends enrichment activities.</w:t>
              <w:br w:type="textWrapping"/>
              <w:t xml:space="preserve">- Termly inclusion meetings show clear records of adaptations and outcomes; evidence of improved participation.</w:t>
              <w:br w:type="textWrapping"/>
              <w:t xml:space="preserve">- Parent satisfaction feedback on enrichment accessibility is positive (target 85% agree/strongly agree).</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7">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Educational Visits Coordinator, Inclusion Lead (Silka Pawelczyk), SENCo (Liz Jones), Site Team</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8">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Amend templates Autumn term; implement immediately for all planned activities; termly reviews</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9">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4. Strengthen staff capacity to plan inclusive curriculum access so classroom learning and enrichment are coherent (linking in-school curriculum with after-school provision)</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A">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Deliver CPD focused on adaptive QFT for enrichment contexts, including WalkThrus techniques applied to clubs and music lessons.</w:t>
              <w:br w:type="textWrapping"/>
              <w:t xml:space="preserve">- Provide release time for staff and LSAs to plan jointly with club leaders and peripatetic teachers to ensure continuity and consistent scaffolding.</w:t>
              <w:br w:type="textWrapping"/>
              <w:t xml:space="preserve">- Incorporate explicit expectations for inclusion and reasonable adjustments into job descriptions and performance management for subject leaders and club leads.</w:t>
              <w:br w:type="textWrapping"/>
              <w:t xml:space="preserve">- Create simple guidance documents and exemplar lesson/club plans showing differentiation for common needs (ASC, SPLD, sensory needs, EAL).</w:t>
              <w:br w:type="textWrapping"/>
              <w:t xml:space="preserve">- Use Learning Lounge and targeted provision data to identify pupils who should be prioritised for enrichment support and track impact on curriculum outcomes.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B">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At least two CPD sessions delivered per year with 90% staff attendance; post</w:t>
            </w:r>
            <w:r w:rsidDel="00000000" w:rsidR="00000000" w:rsidRPr="00000000">
              <w:rPr>
                <w:rFonts w:ascii="Cambria Math" w:cs="Cambria Math" w:eastAsia="Cambria Math" w:hAnsi="Cambria Math"/>
                <w:color w:val="000000"/>
                <w:sz w:val="22"/>
                <w:szCs w:val="22"/>
                <w:vertAlign w:val="baseline"/>
                <w:rtl w:val="0"/>
              </w:rPr>
              <w:t xml:space="preserve">‑</w:t>
            </w:r>
            <w:r w:rsidDel="00000000" w:rsidR="00000000" w:rsidRPr="00000000">
              <w:rPr>
                <w:rFonts w:ascii="Calibri" w:cs="Calibri" w:eastAsia="Calibri" w:hAnsi="Calibri"/>
                <w:color w:val="000000"/>
                <w:sz w:val="22"/>
                <w:szCs w:val="22"/>
                <w:vertAlign w:val="baseline"/>
                <w:rtl w:val="0"/>
              </w:rPr>
              <w:t xml:space="preserve">CPD audits show improved knowledge and application.</w:t>
              <w:br w:type="textWrapping"/>
              <w:t xml:space="preserve">- Joint planning records exist for all peripatetic and targeted club provision and are reviewed termly.</w:t>
              <w:br w:type="textWrapping"/>
              <w:t xml:space="preserve">- Inclusion considerations routinely recorded in club/subject planning (audits show 100% compliance).</w:t>
              <w:br w:type="textWrapping"/>
              <w:t xml:space="preserve">- Evidence that participation in enrichment correlates with improved engagement/progress for targeted pupils (termly progress checks).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C">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SLT Lead for CPD (Kayleigh King), Inclusion Lead, SENCo, Subject Leaders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D">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CPD from Autumn term; joint planning time scheduled each half term; review annually</w:t>
            </w:r>
            <w:r w:rsidDel="00000000" w:rsidR="00000000" w:rsidRPr="00000000">
              <w:rPr>
                <w:rtl w:val="0"/>
              </w:rPr>
            </w:r>
          </w:p>
        </w:tc>
      </w:tr>
      <w:tr>
        <w:trPr>
          <w:cantSplit w:val="0"/>
          <w:tblHeader w:val="0"/>
        </w:trPr>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E">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5. Monitor and evaluate impact to ensure compliance with Schedule 10 and PSED and continuous improvement</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1F">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Establish key performance indicators (KPIs) for curriculum participation by disability (club attendance rates, instrument lesson uptake, retention, pupil voice, attainment/engagement indicators).</w:t>
              <w:br w:type="textWrapping"/>
              <w:t xml:space="preserve">- Add accessibility plan monitoring as a standing item on governor inclusion committee agendas; provide termly written reports on progress against objectives.</w:t>
              <w:br w:type="textWrapping"/>
              <w:t xml:space="preserve">- Conduct an annual accessibility impact review (publicly available) that references Schedule 10 duties and PSED considerations and sets next year’s targets and resource needs.</w:t>
              <w:br w:type="textWrapping"/>
              <w:t xml:space="preserve">- Use pupil voice, parent surveys and staff feedback to inform iterative revision of the plan; ensure documentation of reviews and revisions as required by the Equality Act 2010 (Schedule 10(5)).</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0">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 Termly KPI reports show measurable improvement against baseline for each objective.</w:t>
              <w:br w:type="textWrapping"/>
              <w:t xml:space="preserve">- Governing body receives termly reports and documents decisions on resource allocation for accessibility (evidence of due regard under PSED).</w:t>
              <w:br w:type="textWrapping"/>
              <w:t xml:space="preserve">- Annual accessibility impact review published and available on request; plan revised as needed and implemented.</w:t>
              <w:br w:type="textWrapping"/>
              <w:t xml:space="preserve">- Documented evidence of review and revision cycles fulfilling Schedule 10 and demonstrating allocation of resources.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1">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Headteacher (Silka Pawelczyk), Inclusion Lead, SENCo, Chair of Governors</w:t>
            </w:r>
            <w:r w:rsidDel="00000000" w:rsidR="00000000" w:rsidRPr="00000000">
              <w:rPr>
                <w:rtl w:val="0"/>
              </w:rPr>
            </w:r>
          </w:p>
        </w:tc>
        <w:tc>
          <w:tcPr>
            <w:tcBorders>
              <w:top w:color="000000" w:space="0" w:sz="5" w:val="single"/>
              <w:left w:color="000000" w:space="0" w:sz="5" w:val="single"/>
              <w:bottom w:color="000000" w:space="0" w:sz="5" w:val="single"/>
              <w:right w:color="000000" w:space="0" w:sz="5" w:val="single"/>
            </w:tcBorders>
            <w:tcMar>
              <w:top w:w="120.0" w:type="dxa"/>
              <w:left w:w="120.0" w:type="dxa"/>
              <w:bottom w:w="120.0" w:type="dxa"/>
              <w:right w:w="120.0" w:type="dxa"/>
            </w:tcMar>
            <w:vAlign w:val="center"/>
          </w:tcPr>
          <w:p w:rsidR="00000000" w:rsidDel="00000000" w:rsidP="00000000" w:rsidRDefault="00000000" w:rsidRPr="00000000" w14:paraId="00000022">
            <w:pPr>
              <w:rPr>
                <w:rFonts w:ascii="Calibri" w:cs="Calibri" w:eastAsia="Calibri" w:hAnsi="Calibri"/>
                <w:sz w:val="22"/>
                <w:szCs w:val="22"/>
              </w:rPr>
            </w:pPr>
            <w:r w:rsidDel="00000000" w:rsidR="00000000" w:rsidRPr="00000000">
              <w:rPr>
                <w:rFonts w:ascii="Calibri" w:cs="Calibri" w:eastAsia="Calibri" w:hAnsi="Calibri"/>
                <w:color w:val="000000"/>
                <w:sz w:val="22"/>
                <w:szCs w:val="22"/>
                <w:vertAlign w:val="baseline"/>
                <w:rtl w:val="0"/>
              </w:rPr>
              <w:t xml:space="preserve">KPIs monitored termly; governor reporting termly; annual published review each summer term</w:t>
            </w:r>
            <w:r w:rsidDel="00000000" w:rsidR="00000000" w:rsidRPr="00000000">
              <w:rPr>
                <w:rtl w:val="0"/>
              </w:rPr>
            </w:r>
          </w:p>
        </w:tc>
      </w:tr>
    </w:tbl>
    <w:p w:rsidR="00000000" w:rsidDel="00000000" w:rsidP="00000000" w:rsidRDefault="00000000" w:rsidRPr="00000000" w14:paraId="00000023">
      <w:pPr>
        <w:spacing w:after="240" w:before="240" w:lineRule="auto"/>
        <w:rPr>
          <w:rFonts w:ascii="Calibri" w:cs="Calibri" w:eastAsia="Calibri" w:hAnsi="Calibri"/>
          <w:color w:val="000000"/>
          <w:sz w:val="22"/>
          <w:szCs w:val="22"/>
        </w:rPr>
      </w:pPr>
      <w:r w:rsidDel="00000000" w:rsidR="00000000" w:rsidRPr="00000000">
        <w:rPr>
          <w:rtl w:val="0"/>
        </w:rPr>
      </w:r>
    </w:p>
    <w:sectPr>
      <w:headerReference r:id="rId7" w:type="default"/>
      <w:footerReference r:id="rId8" w:type="default"/>
      <w:pgSz w:h="11906" w:w="16838" w:orient="landscape"/>
      <w:pgMar w:bottom="1701" w:top="1701" w:left="1417" w:right="1417"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Calibri"/>
  <w:font w:name="Cambria Math">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2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26">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8086725</wp:posOffset>
          </wp:positionH>
          <wp:positionV relativeFrom="paragraph">
            <wp:posOffset>-323849</wp:posOffset>
          </wp:positionV>
          <wp:extent cx="667067" cy="795585"/>
          <wp:effectExtent b="0" l="0" r="0" t="0"/>
          <wp:wrapNone/>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667067" cy="79558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lang w:val="en"/>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sz w:val="22"/>
      <w:szCs w:val="22"/>
    </w:rPr>
  </w:style>
  <w:style w:type="paragraph" w:styleId="Heading6">
    <w:name w:val="heading 6"/>
    <w:basedOn w:val="Normal"/>
    <w:next w:val="Normal"/>
    <w:pPr>
      <w:keepNext w:val="1"/>
      <w:keepLines w:val="1"/>
      <w:spacing w:after="40" w:before="200" w:lineRule="auto"/>
    </w:pPr>
    <w:rPr>
      <w:b w:val="1"/>
      <w:bCs w:val="1"/>
    </w:rPr>
  </w:style>
  <w:style w:type="paragraph" w:styleId="Title">
    <w:name w:val="Title"/>
    <w:basedOn w:val="Normal"/>
    <w:next w:val="Normal"/>
    <w:pPr>
      <w:keepNext w:val="1"/>
      <w:keepLines w:val="1"/>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Header">
    <w:name w:val="header"/>
    <w:basedOn w:val="Normal"/>
    <w:link w:val="HeaderChar"/>
    <w:uiPriority w:val="99"/>
    <w:unhideWhenUsed w:val="1"/>
    <w:rsid w:val="00217DE5"/>
    <w:pPr>
      <w:tabs>
        <w:tab w:val="center" w:pos="4513"/>
        <w:tab w:val="right" w:pos="9026"/>
      </w:tabs>
    </w:pPr>
  </w:style>
  <w:style w:type="character" w:styleId="HeaderChar" w:customStyle="1">
    <w:name w:val="Header Char"/>
    <w:basedOn w:val="DefaultParagraphFont"/>
    <w:link w:val="Header"/>
    <w:uiPriority w:val="99"/>
    <w:rsid w:val="00217DE5"/>
  </w:style>
  <w:style w:type="paragraph" w:styleId="Footer">
    <w:name w:val="footer"/>
    <w:basedOn w:val="Normal"/>
    <w:link w:val="FooterChar"/>
    <w:uiPriority w:val="99"/>
    <w:unhideWhenUsed w:val="1"/>
    <w:rsid w:val="00217DE5"/>
    <w:pPr>
      <w:tabs>
        <w:tab w:val="center" w:pos="4513"/>
        <w:tab w:val="right" w:pos="9026"/>
      </w:tabs>
    </w:pPr>
  </w:style>
  <w:style w:type="character" w:styleId="FooterChar" w:customStyle="1">
    <w:name w:val="Footer Char"/>
    <w:basedOn w:val="DefaultParagraphFont"/>
    <w:link w:val="Footer"/>
    <w:uiPriority w:val="99"/>
    <w:rsid w:val="00217DE5"/>
  </w:style>
  <w:style w:type="character" w:styleId="DefaultParagraphFontPHPDOCX" w:customStyle="1">
    <w:name w:val="Default Paragraph Font PHPDOCX"/>
    <w:uiPriority w:val="1"/>
    <w:semiHidden w:val="1"/>
    <w:unhideWhenUsed w:val="1"/>
  </w:style>
  <w:style w:type="paragraph" w:styleId="ListParagraphPHPDOCX" w:customStyle="1">
    <w:name w:val="List Paragraph PHPDOCX"/>
    <w:basedOn w:val="Normal"/>
    <w:uiPriority w:val="34"/>
    <w:qFormat w:val="1"/>
    <w:rsid w:val="00DF064E"/>
    <w:pPr>
      <w:ind w:left="720"/>
      <w:contextualSpacing w:val="1"/>
    </w:pPr>
  </w:style>
  <w:style w:type="paragraph" w:styleId="TitlePHPDOCX" w:customStyle="1">
    <w:name w:val="Title PHPDOCX"/>
    <w:basedOn w:val="Normal"/>
    <w:next w:val="Normal"/>
    <w:link w:val="TitleCarPHPDOCX"/>
    <w:uiPriority w:val="10"/>
    <w:qFormat w:val="1"/>
    <w:rsid w:val="00DF064E"/>
    <w:pPr>
      <w:pBdr>
        <w:bottom w:color="4f81bd" w:space="4" w:sz="8" w:themeColor="accent1" w:val="single"/>
      </w:pBdr>
      <w:spacing w:after="300"/>
      <w:contextualSpacing w:val="1"/>
    </w:pPr>
    <w:rPr>
      <w:rFonts w:asciiTheme="majorHAnsi" w:cstheme="majorBidi" w:eastAsiaTheme="majorEastAsia" w:hAnsiTheme="majorHAnsi"/>
      <w:color w:val="17365d" w:themeColor="text2" w:themeShade="0000BF"/>
      <w:spacing w:val="5"/>
      <w:kern w:val="28"/>
      <w:sz w:val="52"/>
      <w:szCs w:val="52"/>
    </w:rPr>
  </w:style>
  <w:style w:type="character" w:styleId="TitleCarPHPDOCX" w:customStyle="1">
    <w:name w:val="Title Car PHPDOCX"/>
    <w:basedOn w:val="DefaultParagraphFontPHPDOCX"/>
    <w:link w:val="TitlePHPDOCX"/>
    <w:uiPriority w:val="10"/>
    <w:rsid w:val="00DF064E"/>
    <w:rPr>
      <w:rFonts w:asciiTheme="majorHAnsi" w:cstheme="majorBidi" w:eastAsiaTheme="majorEastAsia" w:hAnsiTheme="majorHAnsi"/>
      <w:color w:val="17365d" w:themeColor="text2" w:themeShade="0000BF"/>
      <w:spacing w:val="5"/>
      <w:kern w:val="28"/>
      <w:sz w:val="52"/>
      <w:szCs w:val="52"/>
    </w:rPr>
  </w:style>
  <w:style w:type="paragraph" w:styleId="SubtitlePHPDOCX" w:customStyle="1">
    <w:name w:val="Subtitle PHPDOCX"/>
    <w:basedOn w:val="Normal"/>
    <w:next w:val="Normal"/>
    <w:link w:val="SubtitleCarPHPDOCX"/>
    <w:uiPriority w:val="11"/>
    <w:qFormat w:val="1"/>
    <w:rsid w:val="00DF064E"/>
    <w:pPr>
      <w:numPr>
        <w:ilvl w:val="1"/>
      </w:numPr>
    </w:pPr>
    <w:rPr>
      <w:rFonts w:asciiTheme="majorHAnsi" w:cstheme="majorBidi" w:eastAsiaTheme="majorEastAsia" w:hAnsiTheme="majorHAnsi"/>
      <w:i w:val="1"/>
      <w:iCs w:val="1"/>
      <w:color w:val="4f81bd" w:themeColor="accent1"/>
      <w:spacing w:val="15"/>
      <w:sz w:val="24"/>
      <w:szCs w:val="24"/>
    </w:rPr>
  </w:style>
  <w:style w:type="character" w:styleId="SubtitleCarPHPDOCX" w:customStyle="1">
    <w:name w:val="Subtitle Car PHPDOCX"/>
    <w:basedOn w:val="DefaultParagraphFontPHPDOCX"/>
    <w:link w:val="SubtitlePHPDOCX"/>
    <w:uiPriority w:val="11"/>
    <w:rsid w:val="00DF064E"/>
    <w:rPr>
      <w:rFonts w:asciiTheme="majorHAnsi" w:cstheme="majorBidi" w:eastAsiaTheme="majorEastAsia" w:hAnsiTheme="majorHAnsi"/>
      <w:i w:val="1"/>
      <w:iCs w:val="1"/>
      <w:color w:val="4f81bd" w:themeColor="accent1"/>
      <w:spacing w:val="15"/>
      <w:sz w:val="24"/>
      <w:szCs w:val="24"/>
    </w:rPr>
  </w:style>
  <w:style w:type="table" w:styleId="NormalTablePHPDOCX" w:customStyle="1">
    <w:name w:val="Normal Table PHPDOCX"/>
    <w:uiPriority w:val="99"/>
    <w:semiHidden w:val="1"/>
    <w:unhideWhenUsed w:val="1"/>
    <w:qFormat w:val="1"/>
    <w:tblPr>
      <w:tblInd w:w="0.0" w:type="dxa"/>
      <w:tblCellMar>
        <w:top w:w="0.0" w:type="dxa"/>
        <w:left w:w="108.0" w:type="dxa"/>
        <w:bottom w:w="0.0" w:type="dxa"/>
        <w:right w:w="108.0" w:type="dxa"/>
      </w:tblCellMar>
    </w:tblPr>
  </w:style>
  <w:style w:type="table" w:styleId="TableGridPHPDOCX" w:customStyle="1">
    <w:name w:val="Table Grid PHPDOCX"/>
    <w:uiPriority w:val="59"/>
    <w:rsid w:val="00493A0C"/>
    <w:tblPr>
      <w:tblInd w:w="0.0" w:type="dxa"/>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CellMar>
        <w:top w:w="0.0" w:type="dxa"/>
        <w:left w:w="108.0" w:type="dxa"/>
        <w:bottom w:w="0.0" w:type="dxa"/>
        <w:right w:w="108.0" w:type="dxa"/>
      </w:tblCellMar>
    </w:tblPr>
  </w:style>
  <w:style w:type="character" w:styleId="annotationreferencePHPDOCX" w:customStyle="1">
    <w:name w:val="annotation reference PHPDOCX"/>
    <w:basedOn w:val="DefaultParagraphFontPHPDOCX"/>
    <w:uiPriority w:val="99"/>
    <w:semiHidden w:val="1"/>
    <w:unhideWhenUsed w:val="1"/>
    <w:rsid w:val="00E139EA"/>
    <w:rPr>
      <w:sz w:val="16"/>
      <w:szCs w:val="16"/>
    </w:rPr>
  </w:style>
  <w:style w:type="paragraph" w:styleId="annotationtextPHPDOCX" w:customStyle="1">
    <w:name w:val="annotation text PHPDOCX"/>
    <w:basedOn w:val="Normal"/>
    <w:link w:val="CommentTextCharPHPDOCX"/>
    <w:uiPriority w:val="99"/>
    <w:semiHidden w:val="1"/>
    <w:unhideWhenUsed w:val="1"/>
    <w:rsid w:val="00E139EA"/>
  </w:style>
  <w:style w:type="character" w:styleId="CommentTextCharPHPDOCX" w:customStyle="1">
    <w:name w:val="Comment Text Char PHPDOCX"/>
    <w:basedOn w:val="DefaultParagraphFontPHPDOCX"/>
    <w:link w:val="annotationtextPHPDOCX"/>
    <w:uiPriority w:val="99"/>
    <w:semiHidden w:val="1"/>
    <w:rsid w:val="00E139EA"/>
    <w:rPr>
      <w:sz w:val="20"/>
      <w:szCs w:val="20"/>
    </w:rPr>
  </w:style>
  <w:style w:type="paragraph" w:styleId="annotationsubjectPHPDOCX" w:customStyle="1">
    <w:name w:val="annotation subject PHPDOCX"/>
    <w:basedOn w:val="annotationtextPHPDOCX"/>
    <w:next w:val="annotationtextPHPDOCX"/>
    <w:link w:val="CommentSubjectCharPHPDOCX"/>
    <w:uiPriority w:val="99"/>
    <w:semiHidden w:val="1"/>
    <w:unhideWhenUsed w:val="1"/>
    <w:rsid w:val="00E139EA"/>
    <w:rPr>
      <w:b w:val="1"/>
      <w:bCs w:val="1"/>
    </w:rPr>
  </w:style>
  <w:style w:type="character" w:styleId="CommentSubjectCharPHPDOCX" w:customStyle="1">
    <w:name w:val="Comment Subject Char PHPDOCX"/>
    <w:basedOn w:val="CommentTextCharPHPDOCX"/>
    <w:link w:val="annotationsubjectPHPDOCX"/>
    <w:uiPriority w:val="99"/>
    <w:semiHidden w:val="1"/>
    <w:rsid w:val="00E139EA"/>
    <w:rPr>
      <w:b w:val="1"/>
      <w:bCs w:val="1"/>
      <w:sz w:val="20"/>
      <w:szCs w:val="20"/>
    </w:rPr>
  </w:style>
  <w:style w:type="paragraph" w:styleId="BalloonTextPHPDOCX" w:customStyle="1">
    <w:name w:val="Balloon Text PHPDOCX"/>
    <w:basedOn w:val="Normal"/>
    <w:link w:val="BalloonTextCharPHPDOCX"/>
    <w:uiPriority w:val="99"/>
    <w:semiHidden w:val="1"/>
    <w:unhideWhenUsed w:val="1"/>
    <w:rsid w:val="00E139EA"/>
    <w:rPr>
      <w:rFonts w:ascii="Tahoma" w:cs="Tahoma" w:hAnsi="Tahoma"/>
      <w:sz w:val="16"/>
      <w:szCs w:val="16"/>
    </w:rPr>
  </w:style>
  <w:style w:type="character" w:styleId="BalloonTextCharPHPDOCX" w:customStyle="1">
    <w:name w:val="Balloon Text Char PHPDOCX"/>
    <w:basedOn w:val="DefaultParagraphFontPHPDOCX"/>
    <w:link w:val="BalloonTextPHPDOCX"/>
    <w:uiPriority w:val="99"/>
    <w:semiHidden w:val="1"/>
    <w:rsid w:val="00E139EA"/>
    <w:rPr>
      <w:rFonts w:ascii="Tahoma" w:cs="Tahoma" w:hAnsi="Tahoma"/>
      <w:sz w:val="16"/>
      <w:szCs w:val="16"/>
    </w:rPr>
  </w:style>
  <w:style w:type="paragraph" w:styleId="footnoteTextPHPDOCX" w:customStyle="1">
    <w:name w:val="footnote Text PHPDOCX"/>
    <w:basedOn w:val="Normal"/>
    <w:link w:val="footnoteTextCarPHPDOCX"/>
    <w:uiPriority w:val="99"/>
    <w:semiHidden w:val="1"/>
    <w:unhideWhenUsed w:val="1"/>
    <w:rsid w:val="006E0FDA"/>
  </w:style>
  <w:style w:type="character" w:styleId="footnoteTextCarPHPDOCX" w:customStyle="1">
    <w:name w:val="footnote Text Car PHPDOCX"/>
    <w:basedOn w:val="DefaultParagraphFontPHPDOCX"/>
    <w:link w:val="footnoteTextPHPDOCX"/>
    <w:uiPriority w:val="99"/>
    <w:semiHidden w:val="1"/>
    <w:rsid w:val="006E0FDA"/>
    <w:rPr>
      <w:sz w:val="20"/>
      <w:szCs w:val="20"/>
    </w:rPr>
  </w:style>
  <w:style w:type="character" w:styleId="footnoteReferencePHPDOCX" w:customStyle="1">
    <w:name w:val="footnote Reference PHPDOCX"/>
    <w:basedOn w:val="DefaultParagraphFontPHPDOCX"/>
    <w:uiPriority w:val="99"/>
    <w:semiHidden w:val="1"/>
    <w:unhideWhenUsed w:val="1"/>
    <w:rsid w:val="006E0FDA"/>
    <w:rPr>
      <w:vertAlign w:val="superscript"/>
    </w:rPr>
  </w:style>
  <w:style w:type="paragraph" w:styleId="endnoteTextPHPDOCX" w:customStyle="1">
    <w:name w:val="endnote Text PHPDOCX"/>
    <w:basedOn w:val="Normal"/>
    <w:link w:val="endnoteTextCarPHPDOCX"/>
    <w:uiPriority w:val="99"/>
    <w:semiHidden w:val="1"/>
    <w:unhideWhenUsed w:val="1"/>
    <w:rsid w:val="006E0FDA"/>
  </w:style>
  <w:style w:type="character" w:styleId="endnoteTextCarPHPDOCX" w:customStyle="1">
    <w:name w:val="endnote Text Car PHPDOCX"/>
    <w:basedOn w:val="DefaultParagraphFontPHPDOCX"/>
    <w:link w:val="endnoteTextPHPDOCX"/>
    <w:uiPriority w:val="99"/>
    <w:semiHidden w:val="1"/>
    <w:rsid w:val="006E0FDA"/>
    <w:rPr>
      <w:sz w:val="20"/>
      <w:szCs w:val="20"/>
    </w:rPr>
  </w:style>
  <w:style w:type="character" w:styleId="endnoteReferencePHPDOCX" w:customStyle="1">
    <w:name w:val="endnote Reference PHPDOCX"/>
    <w:basedOn w:val="DefaultParagraphFontPHPDOCX"/>
    <w:uiPriority w:val="99"/>
    <w:semiHidden w:val="1"/>
    <w:unhideWhenUsed w:val="1"/>
    <w:rsid w:val="006E0FDA"/>
    <w:rPr>
      <w:vertAlign w:val="superscript"/>
    </w:r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CambriaMath-regular.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ZLif8lGBZxO5I0oFlyrVMV8HKzg==">CgMxLjAyDmgueHUyN2RocmpwMWRlOAByITE2bHBiZEwtNnVjcnd0WGFiWFd1YTdIVW9WTjRLZE5OTQ==</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2026-10-05T01:56:00Z</dcterms:created>
  <dc:creator>Ashleigh Ferdinand</dc:creator>
</cp:coreProperties>
</file>